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318F6E" w14:textId="77777777" w:rsidR="00E16783" w:rsidRPr="00E16783" w:rsidRDefault="00E16783" w:rsidP="00E167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E16783">
        <w:rPr>
          <w:rFonts w:ascii="Times New Roman" w:eastAsia="Times New Roman" w:hAnsi="Times New Roman" w:cs="Times New Roman"/>
          <w:b/>
          <w:caps/>
          <w:sz w:val="24"/>
          <w:szCs w:val="24"/>
        </w:rPr>
        <w:t>DOCKET NO. 50442</w:t>
      </w:r>
    </w:p>
    <w:p w14:paraId="66586C77" w14:textId="77777777" w:rsidR="00E16783" w:rsidRPr="00E16783" w:rsidRDefault="00E16783" w:rsidP="00E167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tbl>
      <w:tblPr>
        <w:tblW w:w="9461" w:type="dxa"/>
        <w:tblLook w:val="01E0" w:firstRow="1" w:lastRow="1" w:firstColumn="1" w:lastColumn="1" w:noHBand="0" w:noVBand="0"/>
      </w:tblPr>
      <w:tblGrid>
        <w:gridCol w:w="4515"/>
        <w:gridCol w:w="353"/>
        <w:gridCol w:w="4593"/>
      </w:tblGrid>
      <w:tr w:rsidR="00E16783" w:rsidRPr="00E16783" w14:paraId="191623DD" w14:textId="77777777" w:rsidTr="00555E86">
        <w:trPr>
          <w:trHeight w:val="1650"/>
        </w:trPr>
        <w:tc>
          <w:tcPr>
            <w:tcW w:w="4515" w:type="dxa"/>
          </w:tcPr>
          <w:p w14:paraId="6945F4A8" w14:textId="77777777" w:rsidR="00E16783" w:rsidRPr="00E16783" w:rsidRDefault="00E16783" w:rsidP="00E16783">
            <w:pPr>
              <w:spacing w:after="0" w:line="240" w:lineRule="auto"/>
              <w:rPr>
                <w:rFonts w:ascii="Times New Roman Bold" w:eastAsia="Times New Roman" w:hAnsi="Times New Roman Bold" w:cs="Times New Roman"/>
                <w:b/>
                <w:caps/>
                <w:sz w:val="24"/>
                <w:szCs w:val="20"/>
              </w:rPr>
            </w:pPr>
            <w:r w:rsidRPr="00E16783">
              <w:rPr>
                <w:rFonts w:ascii="Times New Roman Bold" w:eastAsia="Times New Roman" w:hAnsi="Times New Roman Bold" w:cs="Times New Roman"/>
                <w:b/>
                <w:caps/>
                <w:sz w:val="24"/>
                <w:szCs w:val="20"/>
              </w:rPr>
              <w:t>Petition of MM Walden Pond LLC to Amend High Point Water Supply Corporation’s Water Certificate of Convenience and Necessity in Kaufman County by Expedited Release</w:t>
            </w:r>
          </w:p>
        </w:tc>
        <w:tc>
          <w:tcPr>
            <w:tcW w:w="353" w:type="dxa"/>
          </w:tcPr>
          <w:p w14:paraId="3BC7D2A8" w14:textId="77777777" w:rsidR="00E16783" w:rsidRPr="00E16783" w:rsidRDefault="00E16783" w:rsidP="00E16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E16783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7BE95A02" w14:textId="77777777" w:rsidR="00E16783" w:rsidRPr="00E16783" w:rsidRDefault="00E16783" w:rsidP="00E16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E16783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422EFCE8" w14:textId="77777777" w:rsidR="00E16783" w:rsidRPr="00E16783" w:rsidRDefault="00E16783" w:rsidP="00E16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E16783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1FA925A0" w14:textId="77777777" w:rsidR="00E16783" w:rsidRPr="00E16783" w:rsidRDefault="00E16783" w:rsidP="00E16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E16783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371540B2" w14:textId="77777777" w:rsidR="00E16783" w:rsidRPr="00E16783" w:rsidRDefault="00E16783" w:rsidP="00E16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E16783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455FB0C6" w14:textId="77777777" w:rsidR="00E16783" w:rsidRPr="00E16783" w:rsidRDefault="00E16783" w:rsidP="00E16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E16783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030D7A0B" w14:textId="77777777" w:rsidR="00E16783" w:rsidRPr="00E16783" w:rsidRDefault="00E16783" w:rsidP="00E16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E16783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</w:tc>
        <w:tc>
          <w:tcPr>
            <w:tcW w:w="4593" w:type="dxa"/>
          </w:tcPr>
          <w:p w14:paraId="370FB0DE" w14:textId="77777777" w:rsidR="00E16783" w:rsidRPr="00E16783" w:rsidRDefault="00E16783" w:rsidP="00E16783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E16783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PUBLIC UTILITY COMMISSION</w:t>
            </w:r>
          </w:p>
          <w:p w14:paraId="70010951" w14:textId="77777777" w:rsidR="00E16783" w:rsidRPr="00E16783" w:rsidRDefault="00E16783" w:rsidP="00E16783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</w:p>
          <w:p w14:paraId="72CF6301" w14:textId="77777777" w:rsidR="00E16783" w:rsidRPr="00E16783" w:rsidRDefault="00E16783" w:rsidP="00E16783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E16783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E16783">
                  <w:rPr>
                    <w:rFonts w:ascii="Times New Roman" w:eastAsia="Times New Roman" w:hAnsi="Times New Roman" w:cs="Times New Roman"/>
                    <w:b/>
                    <w:bCs/>
                    <w:caps/>
                    <w:sz w:val="24"/>
                    <w:szCs w:val="20"/>
                  </w:rPr>
                  <w:t>TEXAS</w:t>
                </w:r>
              </w:smartTag>
            </w:smartTag>
          </w:p>
        </w:tc>
      </w:tr>
    </w:tbl>
    <w:p w14:paraId="016A8A90" w14:textId="77777777" w:rsidR="00E16783" w:rsidRPr="00E16783" w:rsidRDefault="00E16783" w:rsidP="00E16783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6F526F68" w14:textId="4C058A53" w:rsidR="00E16783" w:rsidRPr="00E16783" w:rsidRDefault="00E16783" w:rsidP="00E16783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E16783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COMMISSION STAFF’S 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STATUS REPORT</w:t>
      </w:r>
    </w:p>
    <w:p w14:paraId="4888D25B" w14:textId="77777777" w:rsidR="00E16783" w:rsidRPr="00E16783" w:rsidRDefault="00E16783" w:rsidP="00E16783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0"/>
        </w:rPr>
      </w:pPr>
    </w:p>
    <w:p w14:paraId="43FACFE4" w14:textId="464431A5" w:rsidR="00E16783" w:rsidRPr="00E16783" w:rsidRDefault="00E16783" w:rsidP="00E16783">
      <w:pPr>
        <w:keepNext/>
        <w:spacing w:after="0" w:line="360" w:lineRule="auto"/>
        <w:ind w:firstLine="720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E16783">
        <w:rPr>
          <w:rFonts w:ascii="Times New Roman" w:eastAsia="Times New Roman" w:hAnsi="Times New Roman" w:cs="Times New Roman"/>
          <w:b/>
          <w:sz w:val="24"/>
          <w:szCs w:val="24"/>
        </w:rPr>
        <w:t>COMES NOW</w:t>
      </w:r>
      <w:r w:rsidRPr="00E16783">
        <w:rPr>
          <w:rFonts w:ascii="Times New Roman" w:eastAsia="Times New Roman" w:hAnsi="Times New Roman" w:cs="Times New Roman"/>
          <w:sz w:val="24"/>
          <w:szCs w:val="24"/>
        </w:rPr>
        <w:t xml:space="preserve"> the Staff of the Public Utility Commission of Texas (Staff), representing the public interest, and files this </w:t>
      </w:r>
      <w:r>
        <w:rPr>
          <w:rFonts w:ascii="Times New Roman" w:eastAsia="Times New Roman" w:hAnsi="Times New Roman" w:cs="Times New Roman"/>
          <w:sz w:val="24"/>
          <w:szCs w:val="24"/>
        </w:rPr>
        <w:t>Status Report</w:t>
      </w:r>
      <w:r w:rsidRPr="00E16783">
        <w:rPr>
          <w:rFonts w:ascii="Times New Roman" w:eastAsia="Times New Roman" w:hAnsi="Times New Roman" w:cs="Times New Roman"/>
          <w:sz w:val="24"/>
          <w:szCs w:val="24"/>
        </w:rPr>
        <w:t>. In support thereof, Staff shows the following.</w:t>
      </w:r>
    </w:p>
    <w:p w14:paraId="080627B6" w14:textId="77777777" w:rsidR="00E16783" w:rsidRPr="00E16783" w:rsidRDefault="00E16783" w:rsidP="00E16783">
      <w:pPr>
        <w:keepNext/>
        <w:spacing w:after="0" w:line="360" w:lineRule="auto"/>
        <w:ind w:firstLine="720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</w:p>
    <w:p w14:paraId="6F2E2856" w14:textId="77777777" w:rsidR="00E16783" w:rsidRPr="00E16783" w:rsidRDefault="00E16783" w:rsidP="00E16783">
      <w:pPr>
        <w:numPr>
          <w:ilvl w:val="0"/>
          <w:numId w:val="1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E16783">
        <w:rPr>
          <w:rFonts w:ascii="Times New Roman" w:eastAsia="Times New Roman" w:hAnsi="Times New Roman" w:cs="Times New Roman"/>
          <w:b/>
          <w:sz w:val="24"/>
          <w:szCs w:val="20"/>
        </w:rPr>
        <w:t>BACKGROUND</w:t>
      </w:r>
    </w:p>
    <w:p w14:paraId="013C2EC1" w14:textId="26FF98F3" w:rsidR="00E16783" w:rsidRPr="00E16783" w:rsidRDefault="00E16783" w:rsidP="00E16783">
      <w:pPr>
        <w:spacing w:after="0" w:line="360" w:lineRule="auto"/>
        <w:jc w:val="both"/>
        <w:rPr>
          <w:rFonts w:ascii="Times New Roman" w:hAnsi="Times New Roman" w:cs="Times New Roman"/>
          <w:sz w:val="24"/>
          <w:szCs w:val="20"/>
        </w:rPr>
      </w:pPr>
      <w:r w:rsidRPr="00E16783">
        <w:rPr>
          <w:rFonts w:ascii="Times New Roman" w:eastAsia="Times New Roman" w:hAnsi="Times New Roman" w:cs="Times New Roman"/>
          <w:sz w:val="24"/>
          <w:szCs w:val="20"/>
        </w:rPr>
        <w:tab/>
        <w:t xml:space="preserve">On January 13, 2020, MM Walden Pond, LLC (Walden Pond) filed a petition for expedited release </w:t>
      </w:r>
      <w:r w:rsidRPr="00E16783">
        <w:rPr>
          <w:rFonts w:ascii="Times New Roman" w:eastAsia="Times New Roman" w:hAnsi="Times New Roman" w:cs="Times New Roman"/>
          <w:sz w:val="24"/>
          <w:szCs w:val="24"/>
        </w:rPr>
        <w:t>of the portion of its 214-acre tract that lies within the boundaries of</w:t>
      </w:r>
      <w:r w:rsidRPr="00E16783">
        <w:rPr>
          <w:rFonts w:ascii="Times New Roman" w:eastAsia="Times New Roman" w:hAnsi="Times New Roman" w:cs="Times New Roman"/>
          <w:sz w:val="24"/>
          <w:szCs w:val="20"/>
        </w:rPr>
        <w:t xml:space="preserve"> the High Point Water Supply Corporation’s (High Point) water Certificate of Convenience and Necessity (CCN) No. 10841, in Kaufman County. This petition was filed</w:t>
      </w:r>
      <w:r w:rsidRPr="00E16783">
        <w:rPr>
          <w:rFonts w:ascii="Times New Roman" w:eastAsia="Times New Roman" w:hAnsi="Times New Roman" w:cs="Times New Roman"/>
          <w:bCs/>
          <w:sz w:val="24"/>
          <w:szCs w:val="20"/>
        </w:rPr>
        <w:t xml:space="preserve"> under Texas Water Code (TWC) § 13.2541 and 16 Texas Administrative Code (TAC) § 24.245(</w:t>
      </w:r>
      <w:r w:rsidRPr="00E16783">
        <w:rPr>
          <w:rFonts w:ascii="Times New Roman" w:eastAsia="Times New Roman" w:hAnsi="Times New Roman" w:cs="Times New Roman"/>
          <w:bCs/>
          <w:i/>
          <w:sz w:val="24"/>
          <w:szCs w:val="20"/>
        </w:rPr>
        <w:t>l</w:t>
      </w:r>
      <w:r w:rsidRPr="00E16783">
        <w:rPr>
          <w:rFonts w:ascii="Times New Roman" w:eastAsia="Times New Roman" w:hAnsi="Times New Roman" w:cs="Times New Roman"/>
          <w:bCs/>
          <w:sz w:val="24"/>
          <w:szCs w:val="20"/>
        </w:rPr>
        <w:t>).</w:t>
      </w:r>
      <w:r w:rsidRPr="00E1678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16783">
        <w:rPr>
          <w:rFonts w:ascii="Times New Roman" w:eastAsia="Times New Roman" w:hAnsi="Times New Roman" w:cs="Times New Roman"/>
          <w:bCs/>
          <w:sz w:val="24"/>
          <w:szCs w:val="20"/>
        </w:rPr>
        <w:t>Walden Pond asserts that the tract of land is at least 25 acres, is not receiving water service, and is located in Kaufman County, which is a qualifying county.</w:t>
      </w:r>
    </w:p>
    <w:p w14:paraId="33D32EC5" w14:textId="6A74762F" w:rsidR="00E16783" w:rsidRPr="00E16783" w:rsidRDefault="00E16783" w:rsidP="00E16783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0"/>
        </w:rPr>
      </w:pPr>
      <w:r w:rsidRPr="00E16783">
        <w:rPr>
          <w:rFonts w:ascii="Times New Roman" w:hAnsi="Times New Roman" w:cs="Times New Roman"/>
          <w:sz w:val="24"/>
          <w:szCs w:val="20"/>
        </w:rPr>
        <w:t xml:space="preserve">On March </w:t>
      </w:r>
      <w:r>
        <w:rPr>
          <w:rFonts w:ascii="Times New Roman" w:hAnsi="Times New Roman" w:cs="Times New Roman"/>
          <w:sz w:val="24"/>
          <w:szCs w:val="20"/>
        </w:rPr>
        <w:t>30</w:t>
      </w:r>
      <w:r w:rsidRPr="00E16783">
        <w:rPr>
          <w:rFonts w:ascii="Times New Roman" w:hAnsi="Times New Roman" w:cs="Times New Roman"/>
          <w:sz w:val="24"/>
          <w:szCs w:val="20"/>
        </w:rPr>
        <w:t xml:space="preserve">, 2020 the Administrative Law Judge (ALJ) issued Order No. </w:t>
      </w:r>
      <w:r>
        <w:rPr>
          <w:rFonts w:ascii="Times New Roman" w:hAnsi="Times New Roman" w:cs="Times New Roman"/>
          <w:sz w:val="24"/>
          <w:szCs w:val="20"/>
        </w:rPr>
        <w:t>5</w:t>
      </w:r>
      <w:r w:rsidRPr="00E16783">
        <w:rPr>
          <w:rFonts w:ascii="Times New Roman" w:hAnsi="Times New Roman" w:cs="Times New Roman"/>
          <w:sz w:val="24"/>
          <w:szCs w:val="20"/>
        </w:rPr>
        <w:t xml:space="preserve"> which gave Staff until </w:t>
      </w:r>
      <w:r>
        <w:rPr>
          <w:rFonts w:ascii="Times New Roman" w:hAnsi="Times New Roman" w:cs="Times New Roman"/>
          <w:sz w:val="24"/>
          <w:szCs w:val="20"/>
        </w:rPr>
        <w:t>June 1,</w:t>
      </w:r>
      <w:r w:rsidRPr="00E16783">
        <w:rPr>
          <w:rFonts w:ascii="Times New Roman" w:hAnsi="Times New Roman" w:cs="Times New Roman"/>
          <w:sz w:val="24"/>
          <w:szCs w:val="20"/>
        </w:rPr>
        <w:t xml:space="preserve"> 2020 to file a </w:t>
      </w:r>
      <w:r>
        <w:rPr>
          <w:rFonts w:ascii="Times New Roman" w:hAnsi="Times New Roman" w:cs="Times New Roman"/>
          <w:sz w:val="24"/>
          <w:szCs w:val="20"/>
        </w:rPr>
        <w:t>status report concerning</w:t>
      </w:r>
      <w:r w:rsidR="00AC2663">
        <w:rPr>
          <w:rFonts w:ascii="Times New Roman" w:hAnsi="Times New Roman" w:cs="Times New Roman"/>
          <w:sz w:val="24"/>
          <w:szCs w:val="20"/>
        </w:rPr>
        <w:t xml:space="preserve"> abatement of this proceeding and</w:t>
      </w:r>
      <w:r>
        <w:rPr>
          <w:rFonts w:ascii="Times New Roman" w:hAnsi="Times New Roman" w:cs="Times New Roman"/>
          <w:sz w:val="24"/>
          <w:szCs w:val="20"/>
        </w:rPr>
        <w:t xml:space="preserve"> federal litigation related to </w:t>
      </w:r>
      <w:bookmarkStart w:id="0" w:name="_Hlk41635240"/>
      <w:r>
        <w:rPr>
          <w:rFonts w:ascii="Times New Roman" w:hAnsi="Times New Roman" w:cs="Times New Roman"/>
          <w:sz w:val="24"/>
          <w:szCs w:val="20"/>
        </w:rPr>
        <w:t>the applicability of 7 U.S.C</w:t>
      </w:r>
      <w:r w:rsidRPr="00E16783">
        <w:rPr>
          <w:rFonts w:ascii="Times New Roman" w:hAnsi="Times New Roman" w:cs="Times New Roman"/>
          <w:sz w:val="24"/>
          <w:szCs w:val="20"/>
        </w:rPr>
        <w:t>.</w:t>
      </w:r>
      <w:r>
        <w:rPr>
          <w:rFonts w:ascii="Times New Roman" w:hAnsi="Times New Roman" w:cs="Times New Roman"/>
          <w:sz w:val="24"/>
          <w:szCs w:val="20"/>
        </w:rPr>
        <w:t xml:space="preserve"> § 1926(b)</w:t>
      </w:r>
      <w:bookmarkEnd w:id="0"/>
      <w:r>
        <w:rPr>
          <w:rFonts w:ascii="Times New Roman" w:hAnsi="Times New Roman" w:cs="Times New Roman"/>
          <w:sz w:val="24"/>
          <w:szCs w:val="20"/>
        </w:rPr>
        <w:t xml:space="preserve">. </w:t>
      </w:r>
      <w:r w:rsidRPr="00E16783">
        <w:rPr>
          <w:rFonts w:ascii="Times New Roman" w:hAnsi="Times New Roman" w:cs="Times New Roman"/>
          <w:sz w:val="24"/>
          <w:szCs w:val="20"/>
        </w:rPr>
        <w:t xml:space="preserve"> This pleading is therefore timely filed. </w:t>
      </w:r>
    </w:p>
    <w:p w14:paraId="47B5F915" w14:textId="77777777" w:rsidR="00E16783" w:rsidRPr="00E16783" w:rsidRDefault="00E16783" w:rsidP="00E16783">
      <w:pPr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0"/>
        </w:rPr>
      </w:pPr>
    </w:p>
    <w:p w14:paraId="2B217957" w14:textId="5DEC4C94" w:rsidR="00E16783" w:rsidRPr="00E16783" w:rsidRDefault="00E16783" w:rsidP="00E16783">
      <w:pPr>
        <w:numPr>
          <w:ilvl w:val="0"/>
          <w:numId w:val="1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E16783">
        <w:rPr>
          <w:rFonts w:ascii="Times New Roman" w:eastAsia="Times New Roman" w:hAnsi="Times New Roman" w:cs="Times New Roman"/>
          <w:b/>
          <w:sz w:val="24"/>
          <w:szCs w:val="20"/>
        </w:rPr>
        <w:t>STA</w:t>
      </w:r>
      <w:r>
        <w:rPr>
          <w:rFonts w:ascii="Times New Roman" w:eastAsia="Times New Roman" w:hAnsi="Times New Roman" w:cs="Times New Roman"/>
          <w:b/>
          <w:sz w:val="24"/>
          <w:szCs w:val="20"/>
        </w:rPr>
        <w:t>TUS REPORT</w:t>
      </w:r>
    </w:p>
    <w:p w14:paraId="3E38C8DC" w14:textId="288F89DF" w:rsidR="00E16783" w:rsidRPr="00E16783" w:rsidRDefault="00F217F9" w:rsidP="00F217F9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 xml:space="preserve">There are currently two cases at the </w:t>
      </w:r>
      <w:r w:rsidR="00E16783" w:rsidRPr="00E16783">
        <w:rPr>
          <w:rFonts w:ascii="Times New Roman" w:hAnsi="Times New Roman" w:cs="Times New Roman"/>
          <w:sz w:val="24"/>
          <w:szCs w:val="20"/>
        </w:rPr>
        <w:t>United States Court of Appeals for the Fifth Circuit</w:t>
      </w:r>
      <w:r>
        <w:rPr>
          <w:rFonts w:ascii="Times New Roman" w:hAnsi="Times New Roman" w:cs="Times New Roman"/>
          <w:sz w:val="24"/>
          <w:szCs w:val="20"/>
        </w:rPr>
        <w:t xml:space="preserve"> regarding federal preemption and</w:t>
      </w:r>
      <w:r w:rsidR="00E16783" w:rsidRPr="00E16783" w:rsidDel="008E2EB2">
        <w:rPr>
          <w:rFonts w:ascii="Times New Roman" w:hAnsi="Times New Roman" w:cs="Times New Roman"/>
          <w:sz w:val="24"/>
          <w:szCs w:val="20"/>
        </w:rPr>
        <w:t xml:space="preserve"> </w:t>
      </w:r>
      <w:r>
        <w:rPr>
          <w:rFonts w:ascii="Times New Roman" w:hAnsi="Times New Roman" w:cs="Times New Roman"/>
          <w:sz w:val="24"/>
          <w:szCs w:val="20"/>
        </w:rPr>
        <w:t>the applicability of 7 U.S.C</w:t>
      </w:r>
      <w:r w:rsidRPr="00E16783">
        <w:rPr>
          <w:rFonts w:ascii="Times New Roman" w:hAnsi="Times New Roman" w:cs="Times New Roman"/>
          <w:sz w:val="24"/>
          <w:szCs w:val="20"/>
        </w:rPr>
        <w:t>.</w:t>
      </w:r>
      <w:r>
        <w:rPr>
          <w:rFonts w:ascii="Times New Roman" w:hAnsi="Times New Roman" w:cs="Times New Roman"/>
          <w:sz w:val="24"/>
          <w:szCs w:val="20"/>
        </w:rPr>
        <w:t xml:space="preserve"> § 1926(b) which affect abatement in this case. The first, cited by Staff in its March 26, 2020 reply brief, is </w:t>
      </w:r>
      <w:r w:rsidR="00E16783" w:rsidRPr="00E16783">
        <w:rPr>
          <w:rFonts w:ascii="Times New Roman" w:hAnsi="Times New Roman" w:cs="Times New Roman"/>
          <w:i/>
          <w:iCs/>
          <w:sz w:val="24"/>
          <w:szCs w:val="20"/>
        </w:rPr>
        <w:t xml:space="preserve">Crystal Clear Special Utility District v. </w:t>
      </w:r>
      <w:proofErr w:type="spellStart"/>
      <w:r>
        <w:rPr>
          <w:rFonts w:ascii="Times New Roman" w:hAnsi="Times New Roman" w:cs="Times New Roman"/>
          <w:i/>
          <w:iCs/>
          <w:sz w:val="24"/>
          <w:szCs w:val="20"/>
        </w:rPr>
        <w:t>De</w:t>
      </w:r>
      <w:r w:rsidR="00761939">
        <w:rPr>
          <w:rFonts w:ascii="Times New Roman" w:hAnsi="Times New Roman" w:cs="Times New Roman"/>
          <w:i/>
          <w:iCs/>
          <w:sz w:val="24"/>
          <w:szCs w:val="20"/>
        </w:rPr>
        <w:t>A</w:t>
      </w:r>
      <w:r>
        <w:rPr>
          <w:rFonts w:ascii="Times New Roman" w:hAnsi="Times New Roman" w:cs="Times New Roman"/>
          <w:i/>
          <w:iCs/>
          <w:sz w:val="24"/>
          <w:szCs w:val="20"/>
        </w:rPr>
        <w:t>nn</w:t>
      </w:r>
      <w:proofErr w:type="spellEnd"/>
      <w:r>
        <w:rPr>
          <w:rFonts w:ascii="Times New Roman" w:hAnsi="Times New Roman" w:cs="Times New Roman"/>
          <w:i/>
          <w:iCs/>
          <w:sz w:val="24"/>
          <w:szCs w:val="20"/>
        </w:rPr>
        <w:t xml:space="preserve"> </w:t>
      </w:r>
      <w:r w:rsidR="00E16783" w:rsidRPr="00E16783">
        <w:rPr>
          <w:rFonts w:ascii="Times New Roman" w:hAnsi="Times New Roman" w:cs="Times New Roman"/>
          <w:i/>
          <w:iCs/>
          <w:sz w:val="24"/>
          <w:szCs w:val="20"/>
        </w:rPr>
        <w:t>Walker</w:t>
      </w:r>
      <w:r>
        <w:rPr>
          <w:rFonts w:ascii="Times New Roman" w:hAnsi="Times New Roman" w:cs="Times New Roman"/>
          <w:i/>
          <w:iCs/>
          <w:sz w:val="24"/>
          <w:szCs w:val="20"/>
        </w:rPr>
        <w:t>, et</w:t>
      </w:r>
      <w:r w:rsidR="00994BD4">
        <w:rPr>
          <w:rFonts w:ascii="Times New Roman" w:hAnsi="Times New Roman" w:cs="Times New Roman"/>
          <w:i/>
          <w:iCs/>
          <w:sz w:val="24"/>
          <w:szCs w:val="20"/>
        </w:rPr>
        <w:t>.</w:t>
      </w:r>
      <w:r>
        <w:rPr>
          <w:rFonts w:ascii="Times New Roman" w:hAnsi="Times New Roman" w:cs="Times New Roman"/>
          <w:i/>
          <w:iCs/>
          <w:sz w:val="24"/>
          <w:szCs w:val="20"/>
        </w:rPr>
        <w:t xml:space="preserve"> al</w:t>
      </w:r>
      <w:r w:rsidR="00E16783" w:rsidRPr="00E16783">
        <w:rPr>
          <w:rFonts w:ascii="Times New Roman" w:hAnsi="Times New Roman" w:cs="Times New Roman"/>
          <w:sz w:val="24"/>
          <w:szCs w:val="20"/>
        </w:rPr>
        <w:t>.</w:t>
      </w:r>
      <w:r w:rsidR="00E16783" w:rsidRPr="00E16783">
        <w:rPr>
          <w:rFonts w:ascii="Times New Roman" w:hAnsi="Times New Roman" w:cs="Times New Roman"/>
          <w:position w:val="6"/>
          <w:sz w:val="16"/>
          <w:szCs w:val="20"/>
        </w:rPr>
        <w:footnoteReference w:id="1"/>
      </w:r>
      <w:r w:rsidR="00761939">
        <w:rPr>
          <w:rFonts w:ascii="Times New Roman" w:hAnsi="Times New Roman" w:cs="Times New Roman"/>
          <w:sz w:val="24"/>
          <w:szCs w:val="20"/>
        </w:rPr>
        <w:t xml:space="preserve"> On February 26, 2020 that </w:t>
      </w:r>
      <w:r w:rsidR="00641CA0">
        <w:rPr>
          <w:rFonts w:ascii="Times New Roman" w:hAnsi="Times New Roman" w:cs="Times New Roman"/>
          <w:sz w:val="24"/>
          <w:szCs w:val="20"/>
        </w:rPr>
        <w:t xml:space="preserve">case </w:t>
      </w:r>
      <w:r w:rsidR="00761939">
        <w:rPr>
          <w:rFonts w:ascii="Times New Roman" w:hAnsi="Times New Roman" w:cs="Times New Roman"/>
          <w:sz w:val="24"/>
          <w:szCs w:val="20"/>
        </w:rPr>
        <w:t xml:space="preserve">was stayed pending the </w:t>
      </w:r>
      <w:r w:rsidR="00761939">
        <w:rPr>
          <w:rFonts w:ascii="Times New Roman" w:hAnsi="Times New Roman" w:cs="Times New Roman"/>
          <w:sz w:val="24"/>
          <w:szCs w:val="20"/>
        </w:rPr>
        <w:lastRenderedPageBreak/>
        <w:t xml:space="preserve">disposition of the </w:t>
      </w:r>
      <w:r w:rsidR="00994BD4">
        <w:rPr>
          <w:rFonts w:ascii="Times New Roman" w:hAnsi="Times New Roman" w:cs="Times New Roman"/>
          <w:sz w:val="24"/>
          <w:szCs w:val="20"/>
        </w:rPr>
        <w:t>5</w:t>
      </w:r>
      <w:r w:rsidR="00994BD4" w:rsidRPr="00306B9C">
        <w:rPr>
          <w:rFonts w:ascii="Times New Roman" w:hAnsi="Times New Roman" w:cs="Times New Roman"/>
          <w:sz w:val="24"/>
          <w:szCs w:val="20"/>
        </w:rPr>
        <w:t>th</w:t>
      </w:r>
      <w:r w:rsidR="00994BD4">
        <w:rPr>
          <w:rFonts w:ascii="Times New Roman" w:hAnsi="Times New Roman" w:cs="Times New Roman"/>
          <w:sz w:val="24"/>
          <w:szCs w:val="20"/>
        </w:rPr>
        <w:t xml:space="preserve"> Circuit </w:t>
      </w:r>
      <w:r w:rsidR="00761939">
        <w:rPr>
          <w:rFonts w:ascii="Times New Roman" w:hAnsi="Times New Roman" w:cs="Times New Roman"/>
          <w:sz w:val="24"/>
          <w:szCs w:val="20"/>
        </w:rPr>
        <w:t xml:space="preserve">appeal in </w:t>
      </w:r>
      <w:bookmarkStart w:id="1" w:name="_Hlk41636086"/>
      <w:r w:rsidR="00761939" w:rsidRPr="00761939">
        <w:rPr>
          <w:rFonts w:ascii="Times New Roman" w:hAnsi="Times New Roman" w:cs="Times New Roman"/>
          <w:i/>
          <w:iCs/>
          <w:sz w:val="24"/>
          <w:szCs w:val="20"/>
        </w:rPr>
        <w:t>Green Valley Special Utility District v City of Schertz</w:t>
      </w:r>
      <w:bookmarkEnd w:id="1"/>
      <w:r w:rsidR="00761939">
        <w:rPr>
          <w:rFonts w:ascii="Times New Roman" w:hAnsi="Times New Roman" w:cs="Times New Roman"/>
          <w:sz w:val="24"/>
          <w:szCs w:val="20"/>
        </w:rPr>
        <w:t>.</w:t>
      </w:r>
      <w:r w:rsidR="00761939">
        <w:rPr>
          <w:rStyle w:val="FootnoteReference"/>
          <w:rFonts w:ascii="Times New Roman" w:hAnsi="Times New Roman" w:cs="Times New Roman"/>
          <w:szCs w:val="20"/>
        </w:rPr>
        <w:footnoteReference w:id="2"/>
      </w:r>
      <w:r w:rsidR="00761939">
        <w:rPr>
          <w:rFonts w:ascii="Times New Roman" w:hAnsi="Times New Roman" w:cs="Times New Roman"/>
          <w:sz w:val="24"/>
          <w:szCs w:val="20"/>
        </w:rPr>
        <w:t xml:space="preserve"> In </w:t>
      </w:r>
      <w:r w:rsidR="00761939" w:rsidRPr="00761939">
        <w:rPr>
          <w:rFonts w:ascii="Times New Roman" w:hAnsi="Times New Roman" w:cs="Times New Roman"/>
          <w:i/>
          <w:iCs/>
          <w:sz w:val="24"/>
          <w:szCs w:val="20"/>
        </w:rPr>
        <w:t>Green Valley Special Utility District v City of Schertz</w:t>
      </w:r>
      <w:r w:rsidR="00761939">
        <w:rPr>
          <w:rFonts w:ascii="Times New Roman" w:hAnsi="Times New Roman" w:cs="Times New Roman"/>
          <w:i/>
          <w:iCs/>
          <w:sz w:val="24"/>
          <w:szCs w:val="20"/>
        </w:rPr>
        <w:t xml:space="preserve"> </w:t>
      </w:r>
      <w:r w:rsidR="00761939">
        <w:rPr>
          <w:rFonts w:ascii="Times New Roman" w:hAnsi="Times New Roman" w:cs="Times New Roman"/>
          <w:sz w:val="24"/>
          <w:szCs w:val="20"/>
        </w:rPr>
        <w:t>answers to written questions were requested by the court on May 18, 2020 and the parties submitted answers to those questions on May 19, 2020.</w:t>
      </w:r>
      <w:r w:rsidR="00761939">
        <w:rPr>
          <w:rStyle w:val="FootnoteReference"/>
          <w:rFonts w:ascii="Times New Roman" w:hAnsi="Times New Roman" w:cs="Times New Roman"/>
          <w:szCs w:val="20"/>
        </w:rPr>
        <w:footnoteReference w:id="3"/>
      </w:r>
      <w:r w:rsidR="00761939">
        <w:rPr>
          <w:rFonts w:ascii="Times New Roman" w:hAnsi="Times New Roman" w:cs="Times New Roman"/>
          <w:sz w:val="24"/>
          <w:szCs w:val="20"/>
        </w:rPr>
        <w:t xml:space="preserve"> B</w:t>
      </w:r>
      <w:r w:rsidR="00761939" w:rsidRPr="00761939">
        <w:rPr>
          <w:rFonts w:ascii="Times New Roman" w:hAnsi="Times New Roman" w:cs="Times New Roman"/>
          <w:sz w:val="24"/>
          <w:szCs w:val="20"/>
        </w:rPr>
        <w:t xml:space="preserve">y all appearances, </w:t>
      </w:r>
      <w:r w:rsidR="00641CA0">
        <w:rPr>
          <w:rFonts w:ascii="Times New Roman" w:hAnsi="Times New Roman" w:cs="Times New Roman"/>
          <w:sz w:val="24"/>
          <w:szCs w:val="20"/>
        </w:rPr>
        <w:t>both</w:t>
      </w:r>
      <w:r w:rsidR="00761939" w:rsidRPr="00761939">
        <w:rPr>
          <w:rFonts w:ascii="Times New Roman" w:hAnsi="Times New Roman" w:cs="Times New Roman"/>
          <w:sz w:val="24"/>
          <w:szCs w:val="20"/>
        </w:rPr>
        <w:t xml:space="preserve"> case</w:t>
      </w:r>
      <w:r w:rsidR="00641CA0">
        <w:rPr>
          <w:rFonts w:ascii="Times New Roman" w:hAnsi="Times New Roman" w:cs="Times New Roman"/>
          <w:sz w:val="24"/>
          <w:szCs w:val="20"/>
        </w:rPr>
        <w:t>s</w:t>
      </w:r>
      <w:r w:rsidR="00761939" w:rsidRPr="00761939">
        <w:rPr>
          <w:rFonts w:ascii="Times New Roman" w:hAnsi="Times New Roman" w:cs="Times New Roman"/>
          <w:sz w:val="24"/>
          <w:szCs w:val="20"/>
        </w:rPr>
        <w:t xml:space="preserve"> and the issues therein remain contested.  As these issues remain contested, Staff recommends that the present matter continue to be abated</w:t>
      </w:r>
      <w:r w:rsidR="00641CA0">
        <w:rPr>
          <w:rFonts w:ascii="Times New Roman" w:hAnsi="Times New Roman" w:cs="Times New Roman"/>
          <w:sz w:val="24"/>
          <w:szCs w:val="20"/>
        </w:rPr>
        <w:t xml:space="preserve"> pending </w:t>
      </w:r>
      <w:r w:rsidR="00A8652D">
        <w:rPr>
          <w:rFonts w:ascii="Times New Roman" w:hAnsi="Times New Roman" w:cs="Times New Roman"/>
          <w:sz w:val="24"/>
          <w:szCs w:val="20"/>
        </w:rPr>
        <w:t xml:space="preserve">the issuance of an opinion in </w:t>
      </w:r>
      <w:r w:rsidR="00641CA0">
        <w:rPr>
          <w:rFonts w:ascii="Times New Roman" w:hAnsi="Times New Roman" w:cs="Times New Roman"/>
          <w:sz w:val="24"/>
          <w:szCs w:val="20"/>
        </w:rPr>
        <w:t>both cases.</w:t>
      </w:r>
    </w:p>
    <w:p w14:paraId="237E79FD" w14:textId="77777777" w:rsidR="00E16783" w:rsidRPr="00E16783" w:rsidRDefault="00E16783" w:rsidP="00E16783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0"/>
        </w:rPr>
      </w:pPr>
      <w:bookmarkStart w:id="2" w:name="_Hlk35947188"/>
    </w:p>
    <w:bookmarkEnd w:id="2"/>
    <w:p w14:paraId="099BCF72" w14:textId="77777777" w:rsidR="00E16783" w:rsidRPr="00E16783" w:rsidRDefault="00E16783" w:rsidP="00E16783">
      <w:pPr>
        <w:numPr>
          <w:ilvl w:val="0"/>
          <w:numId w:val="1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E16783">
        <w:rPr>
          <w:rFonts w:ascii="Times New Roman" w:eastAsia="Times New Roman" w:hAnsi="Times New Roman" w:cs="Times New Roman"/>
          <w:b/>
          <w:sz w:val="24"/>
          <w:szCs w:val="20"/>
        </w:rPr>
        <w:t>CONCLUSION</w:t>
      </w:r>
    </w:p>
    <w:p w14:paraId="39720C26" w14:textId="2B72D0D3" w:rsidR="00E16783" w:rsidRPr="00E16783" w:rsidRDefault="00E16783" w:rsidP="0076193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16783">
        <w:rPr>
          <w:rFonts w:ascii="Times New Roman" w:eastAsia="Times New Roman" w:hAnsi="Times New Roman" w:cs="Times New Roman"/>
          <w:bCs/>
          <w:sz w:val="24"/>
          <w:szCs w:val="24"/>
        </w:rPr>
        <w:t xml:space="preserve">Staff respectfully requests that this proceeding </w:t>
      </w:r>
      <w:r w:rsidR="00761939">
        <w:rPr>
          <w:rFonts w:ascii="Times New Roman" w:eastAsia="Times New Roman" w:hAnsi="Times New Roman" w:cs="Times New Roman"/>
          <w:bCs/>
          <w:sz w:val="24"/>
          <w:szCs w:val="24"/>
        </w:rPr>
        <w:t>continue to be</w:t>
      </w:r>
      <w:r w:rsidRPr="00E16783">
        <w:rPr>
          <w:rFonts w:ascii="Times New Roman" w:eastAsia="Times New Roman" w:hAnsi="Times New Roman" w:cs="Times New Roman"/>
          <w:bCs/>
          <w:sz w:val="24"/>
          <w:szCs w:val="24"/>
        </w:rPr>
        <w:t xml:space="preserve"> abated pending the 5</w:t>
      </w:r>
      <w:r w:rsidRPr="00306B9C">
        <w:rPr>
          <w:rFonts w:ascii="Times New Roman" w:eastAsia="Times New Roman" w:hAnsi="Times New Roman" w:cs="Times New Roman"/>
          <w:bCs/>
          <w:sz w:val="24"/>
          <w:szCs w:val="24"/>
        </w:rPr>
        <w:t>th</w:t>
      </w:r>
      <w:r w:rsidRPr="00E16783">
        <w:rPr>
          <w:rFonts w:ascii="Times New Roman" w:eastAsia="Times New Roman" w:hAnsi="Times New Roman" w:cs="Times New Roman"/>
          <w:bCs/>
          <w:sz w:val="24"/>
          <w:szCs w:val="24"/>
        </w:rPr>
        <w:t xml:space="preserve"> Circuit’s decision in </w:t>
      </w:r>
      <w:r w:rsidRPr="00E16783">
        <w:rPr>
          <w:rFonts w:ascii="Times New Roman" w:hAnsi="Times New Roman" w:cs="Times New Roman"/>
          <w:i/>
          <w:iCs/>
          <w:sz w:val="24"/>
          <w:szCs w:val="20"/>
        </w:rPr>
        <w:t xml:space="preserve">Crystal Clear Special Utility District v. </w:t>
      </w:r>
      <w:proofErr w:type="spellStart"/>
      <w:r w:rsidR="00994BD4">
        <w:rPr>
          <w:rFonts w:ascii="Times New Roman" w:hAnsi="Times New Roman" w:cs="Times New Roman"/>
          <w:i/>
          <w:iCs/>
          <w:sz w:val="24"/>
          <w:szCs w:val="20"/>
        </w:rPr>
        <w:t>DeAnn</w:t>
      </w:r>
      <w:proofErr w:type="spellEnd"/>
      <w:r w:rsidR="00994BD4">
        <w:rPr>
          <w:rFonts w:ascii="Times New Roman" w:hAnsi="Times New Roman" w:cs="Times New Roman"/>
          <w:i/>
          <w:iCs/>
          <w:sz w:val="24"/>
          <w:szCs w:val="20"/>
        </w:rPr>
        <w:t xml:space="preserve"> </w:t>
      </w:r>
      <w:r w:rsidRPr="00E16783">
        <w:rPr>
          <w:rFonts w:ascii="Times New Roman" w:hAnsi="Times New Roman" w:cs="Times New Roman"/>
          <w:i/>
          <w:iCs/>
          <w:sz w:val="24"/>
          <w:szCs w:val="20"/>
        </w:rPr>
        <w:t>Walker</w:t>
      </w:r>
      <w:r w:rsidR="00994BD4">
        <w:rPr>
          <w:rFonts w:ascii="Times New Roman" w:hAnsi="Times New Roman" w:cs="Times New Roman"/>
          <w:i/>
          <w:iCs/>
          <w:sz w:val="24"/>
          <w:szCs w:val="20"/>
        </w:rPr>
        <w:t>, et. al.</w:t>
      </w:r>
      <w:r w:rsidR="00761939">
        <w:rPr>
          <w:rFonts w:ascii="Times New Roman" w:hAnsi="Times New Roman" w:cs="Times New Roman"/>
          <w:i/>
          <w:iCs/>
          <w:sz w:val="24"/>
          <w:szCs w:val="20"/>
        </w:rPr>
        <w:t xml:space="preserve"> </w:t>
      </w:r>
      <w:r w:rsidR="00761939">
        <w:rPr>
          <w:rFonts w:ascii="Times New Roman" w:hAnsi="Times New Roman" w:cs="Times New Roman"/>
          <w:sz w:val="24"/>
          <w:szCs w:val="20"/>
        </w:rPr>
        <w:t xml:space="preserve">and </w:t>
      </w:r>
      <w:r w:rsidR="00761939" w:rsidRPr="00761939">
        <w:rPr>
          <w:rFonts w:ascii="Times New Roman" w:hAnsi="Times New Roman" w:cs="Times New Roman"/>
          <w:i/>
          <w:iCs/>
          <w:sz w:val="24"/>
          <w:szCs w:val="20"/>
        </w:rPr>
        <w:t>Green Valley Special Utility District v City of Schertz</w:t>
      </w:r>
      <w:r w:rsidR="00761939">
        <w:rPr>
          <w:rFonts w:ascii="Times New Roman" w:hAnsi="Times New Roman" w:cs="Times New Roman"/>
          <w:i/>
          <w:iCs/>
          <w:sz w:val="24"/>
          <w:szCs w:val="20"/>
        </w:rPr>
        <w:t>.</w:t>
      </w:r>
    </w:p>
    <w:p w14:paraId="74166929" w14:textId="77777777" w:rsidR="00E16783" w:rsidRPr="00E16783" w:rsidRDefault="00E16783" w:rsidP="00E16783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ACD430E" w14:textId="3532A875" w:rsidR="00E16783" w:rsidRPr="00E16783" w:rsidRDefault="00E16783" w:rsidP="00E16783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16783">
        <w:rPr>
          <w:rFonts w:ascii="Times New Roman" w:eastAsia="Times New Roman" w:hAnsi="Times New Roman" w:cs="Times New Roman"/>
          <w:bCs/>
          <w:sz w:val="24"/>
          <w:szCs w:val="24"/>
        </w:rPr>
        <w:t xml:space="preserve">Dated: </w:t>
      </w:r>
      <w:r w:rsidRPr="00E16783">
        <w:rPr>
          <w:rFonts w:ascii="Times New Roman" w:eastAsia="Times New Roman" w:hAnsi="Times New Roman" w:cs="Times New Roman"/>
          <w:bCs/>
          <w:sz w:val="24"/>
          <w:szCs w:val="24"/>
        </w:rPr>
        <w:fldChar w:fldCharType="begin"/>
      </w:r>
      <w:r w:rsidRPr="00E16783">
        <w:rPr>
          <w:rFonts w:ascii="Times New Roman" w:eastAsia="Times New Roman" w:hAnsi="Times New Roman" w:cs="Times New Roman"/>
          <w:bCs/>
          <w:sz w:val="24"/>
          <w:szCs w:val="24"/>
        </w:rPr>
        <w:instrText xml:space="preserve"> DATE \@ "MMMM d, yyyy" </w:instrText>
      </w:r>
      <w:r w:rsidRPr="00E16783">
        <w:rPr>
          <w:rFonts w:ascii="Times New Roman" w:eastAsia="Times New Roman" w:hAnsi="Times New Roman" w:cs="Times New Roman"/>
          <w:bCs/>
          <w:sz w:val="24"/>
          <w:szCs w:val="24"/>
        </w:rPr>
        <w:fldChar w:fldCharType="separate"/>
      </w:r>
      <w:r w:rsidR="00306B9C">
        <w:rPr>
          <w:rFonts w:ascii="Times New Roman" w:eastAsia="Times New Roman" w:hAnsi="Times New Roman" w:cs="Times New Roman"/>
          <w:bCs/>
          <w:noProof/>
          <w:sz w:val="24"/>
          <w:szCs w:val="24"/>
        </w:rPr>
        <w:t>June 1, 2020</w:t>
      </w:r>
      <w:r w:rsidRPr="00E16783">
        <w:rPr>
          <w:rFonts w:ascii="Times New Roman" w:eastAsia="Times New Roman" w:hAnsi="Times New Roman" w:cs="Times New Roman"/>
          <w:bCs/>
          <w:sz w:val="24"/>
          <w:szCs w:val="24"/>
        </w:rPr>
        <w:fldChar w:fldCharType="end"/>
      </w:r>
    </w:p>
    <w:p w14:paraId="4F923EFC" w14:textId="77777777" w:rsidR="00E16783" w:rsidRPr="00E16783" w:rsidRDefault="00E16783" w:rsidP="00E16783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8872DA7" w14:textId="77777777" w:rsidR="00E16783" w:rsidRPr="00E16783" w:rsidRDefault="00E16783" w:rsidP="00E16783">
      <w:pPr>
        <w:spacing w:after="0" w:line="48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6783">
        <w:rPr>
          <w:rFonts w:ascii="Times New Roman" w:eastAsia="Times New Roman" w:hAnsi="Times New Roman" w:cs="Times New Roman"/>
          <w:sz w:val="24"/>
          <w:szCs w:val="24"/>
        </w:rPr>
        <w:t>Respectfully submitted,</w:t>
      </w:r>
    </w:p>
    <w:p w14:paraId="34EF2CEC" w14:textId="77777777" w:rsidR="00E16783" w:rsidRPr="00E16783" w:rsidRDefault="00E16783" w:rsidP="00E16783">
      <w:pPr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16783">
        <w:rPr>
          <w:rFonts w:ascii="Times New Roman" w:eastAsia="Times New Roman" w:hAnsi="Times New Roman" w:cs="Times New Roman"/>
          <w:b/>
          <w:sz w:val="24"/>
          <w:szCs w:val="24"/>
        </w:rPr>
        <w:t xml:space="preserve">PUBLIC UTILITY COMMISSION OF TEXAS </w:t>
      </w:r>
    </w:p>
    <w:p w14:paraId="569B17A0" w14:textId="77777777" w:rsidR="00E16783" w:rsidRPr="00E16783" w:rsidRDefault="00E16783" w:rsidP="00E16783">
      <w:pPr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16783">
        <w:rPr>
          <w:rFonts w:ascii="Times New Roman" w:eastAsia="Times New Roman" w:hAnsi="Times New Roman" w:cs="Times New Roman"/>
          <w:b/>
          <w:sz w:val="24"/>
          <w:szCs w:val="24"/>
        </w:rPr>
        <w:t>LEGAL DIVISION</w:t>
      </w:r>
    </w:p>
    <w:p w14:paraId="16E63051" w14:textId="77777777" w:rsidR="00E16783" w:rsidRPr="00E16783" w:rsidRDefault="00E16783" w:rsidP="00E167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17D84914" w14:textId="77777777" w:rsidR="00E16783" w:rsidRPr="00E16783" w:rsidRDefault="00E16783" w:rsidP="00E167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  <w:t>Rachelle Nicolette Robles</w:t>
      </w:r>
    </w:p>
    <w:p w14:paraId="5F7839D6" w14:textId="77777777" w:rsidR="00E16783" w:rsidRPr="00E16783" w:rsidRDefault="00E16783" w:rsidP="00E167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  <w:t xml:space="preserve">Division Director </w:t>
      </w:r>
    </w:p>
    <w:p w14:paraId="224FC214" w14:textId="77777777" w:rsidR="00E16783" w:rsidRPr="00E16783" w:rsidRDefault="00E16783" w:rsidP="00E167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68D52BFD" w14:textId="77777777" w:rsidR="00E16783" w:rsidRPr="00E16783" w:rsidRDefault="00E16783" w:rsidP="00E16783">
      <w:pPr>
        <w:keepNext/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3" w:name="_Hlk23239586"/>
      <w:r w:rsidRPr="00E16783">
        <w:rPr>
          <w:rFonts w:ascii="Times New Roman" w:eastAsia="Times New Roman" w:hAnsi="Times New Roman" w:cs="Times New Roman"/>
          <w:sz w:val="24"/>
          <w:szCs w:val="24"/>
        </w:rPr>
        <w:t>Heath D. Armstrong</w:t>
      </w:r>
      <w:bookmarkEnd w:id="3"/>
      <w:r w:rsidRPr="00E167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50587FD" w14:textId="77777777" w:rsidR="00E16783" w:rsidRPr="00E16783" w:rsidRDefault="00E16783" w:rsidP="00E16783">
      <w:pPr>
        <w:keepNext/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6783">
        <w:rPr>
          <w:rFonts w:ascii="Times New Roman" w:eastAsia="Times New Roman" w:hAnsi="Times New Roman" w:cs="Times New Roman"/>
          <w:sz w:val="24"/>
          <w:szCs w:val="24"/>
        </w:rPr>
        <w:t>Managing Attorney</w:t>
      </w:r>
    </w:p>
    <w:p w14:paraId="503ED125" w14:textId="77777777" w:rsidR="00E16783" w:rsidRPr="00E16783" w:rsidRDefault="00E16783" w:rsidP="00E167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4EA6949" w14:textId="77777777" w:rsidR="00E16783" w:rsidRPr="00E16783" w:rsidRDefault="00E16783" w:rsidP="00E167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7FD5DE1F" w14:textId="3A268939" w:rsidR="00E16783" w:rsidRPr="00E16783" w:rsidRDefault="00E16783" w:rsidP="00E167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u w:val="single"/>
        </w:rPr>
      </w:pP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="00306B9C">
        <w:rPr>
          <w:rFonts w:ascii="Times New Roman" w:eastAsia="Times New Roman" w:hAnsi="Times New Roman" w:cs="Times New Roman"/>
          <w:sz w:val="24"/>
          <w:szCs w:val="20"/>
          <w:u w:val="single"/>
        </w:rPr>
        <w:t>/s/ Robert Dakota Parish__</w:t>
      </w:r>
    </w:p>
    <w:p w14:paraId="4AB74BD7" w14:textId="77777777" w:rsidR="00E16783" w:rsidRPr="00E16783" w:rsidRDefault="00E16783" w:rsidP="00E167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  <w:t>Robert Dakota Parish</w:t>
      </w:r>
    </w:p>
    <w:p w14:paraId="74E54541" w14:textId="77777777" w:rsidR="00E16783" w:rsidRPr="00E16783" w:rsidRDefault="00E16783" w:rsidP="00E167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  <w:t>State Bar No. 24116875</w:t>
      </w:r>
    </w:p>
    <w:p w14:paraId="1A9EB9C3" w14:textId="77777777" w:rsidR="00E16783" w:rsidRPr="00E16783" w:rsidRDefault="00E16783" w:rsidP="00E167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  <w:t>1701 N. Congress Avenue</w:t>
      </w:r>
    </w:p>
    <w:p w14:paraId="56493E16" w14:textId="77777777" w:rsidR="00E16783" w:rsidRPr="00E16783" w:rsidRDefault="00E16783" w:rsidP="00E167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  <w:t>P.O. Box 13326</w:t>
      </w:r>
    </w:p>
    <w:p w14:paraId="52DFC070" w14:textId="77777777" w:rsidR="00E16783" w:rsidRPr="00E16783" w:rsidRDefault="00E16783" w:rsidP="00E167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  <w:t>Austin, Texas 78711-3326</w:t>
      </w:r>
    </w:p>
    <w:p w14:paraId="6CE6587C" w14:textId="77777777" w:rsidR="00E16783" w:rsidRPr="00E16783" w:rsidRDefault="00E16783" w:rsidP="00E167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  <w:t>(512) 936-7442</w:t>
      </w:r>
    </w:p>
    <w:p w14:paraId="5BDD780B" w14:textId="77777777" w:rsidR="00E16783" w:rsidRPr="00E16783" w:rsidRDefault="00E16783" w:rsidP="00E167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  <w:t>(512) 936-7268 (facsimile)</w:t>
      </w:r>
    </w:p>
    <w:p w14:paraId="5A532685" w14:textId="77777777" w:rsidR="00E16783" w:rsidRPr="00E16783" w:rsidRDefault="00E16783" w:rsidP="00E167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  <w:t>Robert.Parish@puc.texas.gov</w:t>
      </w:r>
    </w:p>
    <w:p w14:paraId="19B847D0" w14:textId="77777777" w:rsidR="00641CA0" w:rsidRDefault="00641CA0" w:rsidP="00CD6C28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bookmarkStart w:id="4" w:name="_GoBack"/>
      <w:bookmarkEnd w:id="4"/>
    </w:p>
    <w:p w14:paraId="383B4A86" w14:textId="602F82C2" w:rsidR="00E16783" w:rsidRPr="00E16783" w:rsidRDefault="00E16783" w:rsidP="00E167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E16783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lastRenderedPageBreak/>
        <w:t>Docket</w:t>
      </w:r>
      <w:r w:rsidRPr="00E1678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16783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No. 50442</w:t>
      </w:r>
    </w:p>
    <w:p w14:paraId="55A6C2BB" w14:textId="77777777" w:rsidR="00E16783" w:rsidRPr="00E16783" w:rsidRDefault="00E16783" w:rsidP="00E167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798967C8" w14:textId="77777777" w:rsidR="00E16783" w:rsidRPr="00E16783" w:rsidRDefault="00E16783" w:rsidP="00E16783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16783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275F5A6B" w14:textId="77777777" w:rsidR="00E16783" w:rsidRPr="00E16783" w:rsidRDefault="00E16783" w:rsidP="00E16783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01C90F8" w14:textId="25A8F82B" w:rsidR="00E16783" w:rsidRPr="00E16783" w:rsidRDefault="00E16783" w:rsidP="00E16783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6783">
        <w:rPr>
          <w:rFonts w:ascii="Times New Roman" w:eastAsia="Times New Roman" w:hAnsi="Times New Roman" w:cs="Times New Roman"/>
          <w:sz w:val="24"/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="00800506">
        <w:rPr>
          <w:rFonts w:ascii="Times New Roman" w:eastAsia="Times New Roman" w:hAnsi="Times New Roman" w:cs="Times New Roman"/>
          <w:sz w:val="24"/>
          <w:szCs w:val="24"/>
        </w:rPr>
        <w:t>June 1</w:t>
      </w:r>
      <w:r w:rsidRPr="00E16783">
        <w:rPr>
          <w:rFonts w:ascii="Times New Roman" w:eastAsia="Times New Roman" w:hAnsi="Times New Roman" w:cs="Times New Roman"/>
          <w:sz w:val="24"/>
          <w:szCs w:val="24"/>
        </w:rPr>
        <w:t>, 2020, in accordance with the Order Suspending Rules, issued in Project No. 50664.</w:t>
      </w:r>
    </w:p>
    <w:p w14:paraId="32F22242" w14:textId="77777777" w:rsidR="00E16783" w:rsidRPr="00E16783" w:rsidRDefault="00E16783" w:rsidP="00E16783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E18FF3E" w14:textId="5D0DFEBD" w:rsidR="00E16783" w:rsidRPr="00E16783" w:rsidRDefault="00306B9C" w:rsidP="00E16783">
      <w:pPr>
        <w:keepNext/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/s/ Robert Dakota Parish__</w:t>
      </w:r>
    </w:p>
    <w:p w14:paraId="7004A904" w14:textId="77777777" w:rsidR="00E16783" w:rsidRPr="00E16783" w:rsidRDefault="00E16783" w:rsidP="00E16783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E16783">
        <w:rPr>
          <w:rFonts w:ascii="Times New Roman" w:eastAsia="Times New Roman" w:hAnsi="Times New Roman" w:cs="Times New Roman"/>
          <w:sz w:val="24"/>
          <w:szCs w:val="20"/>
        </w:rPr>
        <w:t>Robert Dakota Parish</w:t>
      </w:r>
    </w:p>
    <w:p w14:paraId="7DD4E0D5" w14:textId="77777777" w:rsidR="00E16783" w:rsidRPr="00E16783" w:rsidRDefault="00E16783" w:rsidP="00E16783"/>
    <w:p w14:paraId="4F2D72FC" w14:textId="77777777" w:rsidR="00F17459" w:rsidRDefault="00F17459"/>
    <w:sectPr w:rsidR="00F17459" w:rsidSect="00590818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09C7DF" w14:textId="77777777" w:rsidR="00E16783" w:rsidRDefault="00E16783" w:rsidP="00E16783">
      <w:pPr>
        <w:spacing w:after="0" w:line="240" w:lineRule="auto"/>
      </w:pPr>
      <w:r>
        <w:separator/>
      </w:r>
    </w:p>
  </w:endnote>
  <w:endnote w:type="continuationSeparator" w:id="0">
    <w:p w14:paraId="4C1ECB8D" w14:textId="77777777" w:rsidR="00E16783" w:rsidRDefault="00E16783" w:rsidP="00E167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B0C64C" w14:textId="77777777" w:rsidR="009C1544" w:rsidRDefault="00994BD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7B418B7" w14:textId="77777777" w:rsidR="009C1544" w:rsidRDefault="00CD6C28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82880" w14:textId="77777777" w:rsidR="009C1544" w:rsidRPr="000D3B4C" w:rsidRDefault="00994BD4" w:rsidP="009B61E3">
    <w:pPr>
      <w:pStyle w:val="Footer"/>
      <w:framePr w:wrap="around" w:vAnchor="text" w:hAnchor="page" w:x="1702" w:y="61"/>
      <w:jc w:val="center"/>
      <w:rPr>
        <w:rStyle w:val="PageNumber"/>
        <w:rFonts w:ascii="Times New Roman" w:hAnsi="Times New Roman" w:cs="Times New Roman"/>
        <w:sz w:val="24"/>
        <w:szCs w:val="24"/>
      </w:rPr>
    </w:pPr>
    <w:r w:rsidRPr="000D3B4C">
      <w:rPr>
        <w:rStyle w:val="PageNumber"/>
        <w:rFonts w:ascii="Times New Roman" w:hAnsi="Times New Roman" w:cs="Times New Roman"/>
        <w:sz w:val="24"/>
        <w:szCs w:val="24"/>
      </w:rPr>
      <w:fldChar w:fldCharType="begin"/>
    </w:r>
    <w:r w:rsidRPr="000D3B4C">
      <w:rPr>
        <w:rStyle w:val="PageNumber"/>
        <w:rFonts w:ascii="Times New Roman" w:hAnsi="Times New Roman" w:cs="Times New Roman"/>
        <w:sz w:val="24"/>
        <w:szCs w:val="24"/>
      </w:rPr>
      <w:instrText xml:space="preserve">PAGE  </w:instrText>
    </w:r>
    <w:r w:rsidRPr="000D3B4C">
      <w:rPr>
        <w:rStyle w:val="PageNumber"/>
        <w:rFonts w:ascii="Times New Roman" w:hAnsi="Times New Roman" w:cs="Times New Roman"/>
        <w:sz w:val="24"/>
        <w:szCs w:val="24"/>
      </w:rPr>
      <w:fldChar w:fldCharType="separate"/>
    </w:r>
    <w:r w:rsidRPr="000D3B4C">
      <w:rPr>
        <w:rStyle w:val="PageNumber"/>
        <w:rFonts w:ascii="Times New Roman" w:hAnsi="Times New Roman" w:cs="Times New Roman"/>
        <w:noProof/>
        <w:sz w:val="24"/>
        <w:szCs w:val="24"/>
      </w:rPr>
      <w:t>2</w:t>
    </w:r>
    <w:r w:rsidRPr="000D3B4C">
      <w:rPr>
        <w:rStyle w:val="PageNumber"/>
        <w:rFonts w:ascii="Times New Roman" w:hAnsi="Times New Roman" w:cs="Times New Roman"/>
        <w:sz w:val="24"/>
        <w:szCs w:val="24"/>
      </w:rPr>
      <w:fldChar w:fldCharType="end"/>
    </w:r>
  </w:p>
  <w:p w14:paraId="19E69A29" w14:textId="77777777" w:rsidR="009C1544" w:rsidRDefault="00CD6C28" w:rsidP="009B61E3">
    <w:pPr>
      <w:pStyle w:val="Footer"/>
      <w:framePr w:wrap="around" w:vAnchor="text" w:hAnchor="page" w:x="1702" w:y="61"/>
      <w:rPr>
        <w:rStyle w:val="PageNumber"/>
      </w:rPr>
    </w:pPr>
  </w:p>
  <w:p w14:paraId="3EB4D157" w14:textId="77777777" w:rsidR="009C1544" w:rsidRDefault="00CD6C28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D0641D" w14:textId="77777777" w:rsidR="00E16783" w:rsidRDefault="00E16783" w:rsidP="00E16783">
      <w:pPr>
        <w:spacing w:after="0" w:line="240" w:lineRule="auto"/>
      </w:pPr>
      <w:r>
        <w:separator/>
      </w:r>
    </w:p>
  </w:footnote>
  <w:footnote w:type="continuationSeparator" w:id="0">
    <w:p w14:paraId="23A447FA" w14:textId="77777777" w:rsidR="00E16783" w:rsidRDefault="00E16783" w:rsidP="00E16783">
      <w:pPr>
        <w:spacing w:after="0" w:line="240" w:lineRule="auto"/>
      </w:pPr>
      <w:r>
        <w:continuationSeparator/>
      </w:r>
    </w:p>
  </w:footnote>
  <w:footnote w:id="1">
    <w:p w14:paraId="37F4C63E" w14:textId="7F50CADB" w:rsidR="00E16783" w:rsidRPr="00F217F9" w:rsidRDefault="00E16783" w:rsidP="00E16783">
      <w:pPr>
        <w:pStyle w:val="FootnoteText"/>
        <w:spacing w:before="120"/>
        <w:ind w:firstLine="720"/>
        <w:rPr>
          <w:rFonts w:ascii="Times New Roman" w:hAnsi="Times New Roman" w:cs="Times New Roman"/>
        </w:rPr>
      </w:pPr>
      <w:r w:rsidRPr="00F217F9">
        <w:rPr>
          <w:rStyle w:val="FootnoteReference"/>
          <w:rFonts w:ascii="Times New Roman" w:hAnsi="Times New Roman" w:cs="Times New Roman"/>
        </w:rPr>
        <w:footnoteRef/>
      </w:r>
      <w:r w:rsidRPr="00F217F9">
        <w:rPr>
          <w:rFonts w:ascii="Times New Roman" w:hAnsi="Times New Roman" w:cs="Times New Roman"/>
        </w:rPr>
        <w:t xml:space="preserve"> </w:t>
      </w:r>
      <w:r w:rsidRPr="00F217F9">
        <w:rPr>
          <w:rFonts w:ascii="Times New Roman" w:hAnsi="Times New Roman" w:cs="Times New Roman"/>
          <w:i/>
          <w:iCs/>
        </w:rPr>
        <w:t xml:space="preserve">Crystal Clear Special Utility District v. </w:t>
      </w:r>
      <w:proofErr w:type="spellStart"/>
      <w:r w:rsidR="00F217F9" w:rsidRPr="00F217F9">
        <w:rPr>
          <w:rFonts w:ascii="Times New Roman" w:hAnsi="Times New Roman" w:cs="Times New Roman"/>
          <w:i/>
          <w:iCs/>
        </w:rPr>
        <w:t>DeAnn</w:t>
      </w:r>
      <w:proofErr w:type="spellEnd"/>
      <w:r w:rsidR="00F217F9" w:rsidRPr="00F217F9">
        <w:rPr>
          <w:rFonts w:ascii="Times New Roman" w:hAnsi="Times New Roman" w:cs="Times New Roman"/>
          <w:i/>
          <w:iCs/>
        </w:rPr>
        <w:t xml:space="preserve"> </w:t>
      </w:r>
      <w:r w:rsidRPr="00F217F9">
        <w:rPr>
          <w:rFonts w:ascii="Times New Roman" w:hAnsi="Times New Roman" w:cs="Times New Roman"/>
          <w:i/>
          <w:iCs/>
        </w:rPr>
        <w:t>Walker, et. al.</w:t>
      </w:r>
      <w:r w:rsidRPr="00F217F9">
        <w:rPr>
          <w:rFonts w:ascii="Times New Roman" w:hAnsi="Times New Roman" w:cs="Times New Roman"/>
        </w:rPr>
        <w:t xml:space="preserve">, No. </w:t>
      </w:r>
      <w:r w:rsidR="00F217F9" w:rsidRPr="00F217F9">
        <w:rPr>
          <w:rFonts w:ascii="Times New Roman" w:hAnsi="Times New Roman" w:cs="Times New Roman"/>
        </w:rPr>
        <w:t>20</w:t>
      </w:r>
      <w:r w:rsidRPr="00F217F9">
        <w:rPr>
          <w:rFonts w:ascii="Times New Roman" w:hAnsi="Times New Roman" w:cs="Times New Roman"/>
        </w:rPr>
        <w:t>-50</w:t>
      </w:r>
      <w:r w:rsidR="00F217F9" w:rsidRPr="00F217F9">
        <w:rPr>
          <w:rFonts w:ascii="Times New Roman" w:hAnsi="Times New Roman" w:cs="Times New Roman"/>
        </w:rPr>
        <w:t>043</w:t>
      </w:r>
      <w:r w:rsidRPr="00F217F9">
        <w:rPr>
          <w:rFonts w:ascii="Times New Roman" w:hAnsi="Times New Roman" w:cs="Times New Roman"/>
        </w:rPr>
        <w:t xml:space="preserve"> (5</w:t>
      </w:r>
      <w:r w:rsidRPr="00306B9C">
        <w:rPr>
          <w:rFonts w:ascii="Times New Roman" w:hAnsi="Times New Roman" w:cs="Times New Roman"/>
        </w:rPr>
        <w:t>th</w:t>
      </w:r>
      <w:r w:rsidRPr="00F217F9">
        <w:rPr>
          <w:rFonts w:ascii="Times New Roman" w:hAnsi="Times New Roman" w:cs="Times New Roman"/>
        </w:rPr>
        <w:t xml:space="preserve"> Cir. Filed J</w:t>
      </w:r>
      <w:r w:rsidR="00F217F9" w:rsidRPr="00F217F9">
        <w:rPr>
          <w:rFonts w:ascii="Times New Roman" w:hAnsi="Times New Roman" w:cs="Times New Roman"/>
        </w:rPr>
        <w:t>anuary</w:t>
      </w:r>
      <w:r w:rsidRPr="00F217F9">
        <w:rPr>
          <w:rFonts w:ascii="Times New Roman" w:hAnsi="Times New Roman" w:cs="Times New Roman"/>
        </w:rPr>
        <w:t xml:space="preserve"> 1</w:t>
      </w:r>
      <w:r w:rsidR="00F217F9" w:rsidRPr="00F217F9">
        <w:rPr>
          <w:rFonts w:ascii="Times New Roman" w:hAnsi="Times New Roman" w:cs="Times New Roman"/>
        </w:rPr>
        <w:t>6</w:t>
      </w:r>
      <w:r w:rsidRPr="00F217F9">
        <w:rPr>
          <w:rFonts w:ascii="Times New Roman" w:hAnsi="Times New Roman" w:cs="Times New Roman"/>
        </w:rPr>
        <w:t>, 20</w:t>
      </w:r>
      <w:r w:rsidR="00F217F9" w:rsidRPr="00F217F9">
        <w:rPr>
          <w:rFonts w:ascii="Times New Roman" w:hAnsi="Times New Roman" w:cs="Times New Roman"/>
        </w:rPr>
        <w:t>20</w:t>
      </w:r>
      <w:r w:rsidRPr="00F217F9">
        <w:rPr>
          <w:rFonts w:ascii="Times New Roman" w:hAnsi="Times New Roman" w:cs="Times New Roman"/>
        </w:rPr>
        <w:t>).</w:t>
      </w:r>
    </w:p>
  </w:footnote>
  <w:footnote w:id="2">
    <w:p w14:paraId="33B08161" w14:textId="08C9F75C" w:rsidR="00761939" w:rsidRPr="00761939" w:rsidRDefault="00761939" w:rsidP="00761939">
      <w:pPr>
        <w:pStyle w:val="FootnoteText"/>
        <w:ind w:firstLine="720"/>
        <w:rPr>
          <w:rFonts w:ascii="Times New Roman" w:hAnsi="Times New Roman" w:cs="Times New Roman"/>
        </w:rPr>
      </w:pPr>
      <w:r w:rsidRPr="00761939">
        <w:rPr>
          <w:rStyle w:val="FootnoteReference"/>
          <w:rFonts w:ascii="Times New Roman" w:hAnsi="Times New Roman" w:cs="Times New Roman"/>
        </w:rPr>
        <w:footnoteRef/>
      </w:r>
      <w:r w:rsidRPr="00761939">
        <w:rPr>
          <w:rFonts w:ascii="Times New Roman" w:hAnsi="Times New Roman" w:cs="Times New Roman"/>
        </w:rPr>
        <w:t xml:space="preserve"> </w:t>
      </w:r>
      <w:r w:rsidRPr="00761939">
        <w:rPr>
          <w:rFonts w:ascii="Times New Roman" w:hAnsi="Times New Roman" w:cs="Times New Roman"/>
          <w:i/>
          <w:iCs/>
        </w:rPr>
        <w:t>Green Valley Special Util. Dist. v. City of Schertz</w:t>
      </w:r>
      <w:r w:rsidRPr="00761939">
        <w:rPr>
          <w:rFonts w:ascii="Times New Roman" w:hAnsi="Times New Roman" w:cs="Times New Roman"/>
        </w:rPr>
        <w:t>, No. 18-51092 (5th Cir. filed Dec. 31, 2018).</w:t>
      </w:r>
    </w:p>
  </w:footnote>
  <w:footnote w:id="3">
    <w:p w14:paraId="393C9A58" w14:textId="50595D0B" w:rsidR="00761939" w:rsidRPr="00761939" w:rsidRDefault="00761939" w:rsidP="00761939">
      <w:pPr>
        <w:pStyle w:val="FootnoteText"/>
        <w:ind w:firstLine="720"/>
        <w:rPr>
          <w:rFonts w:ascii="Times New Roman" w:hAnsi="Times New Roman" w:cs="Times New Roman"/>
        </w:rPr>
      </w:pPr>
      <w:r w:rsidRPr="00761939">
        <w:rPr>
          <w:rStyle w:val="FootnoteReference"/>
          <w:rFonts w:ascii="Times New Roman" w:hAnsi="Times New Roman" w:cs="Times New Roman"/>
        </w:rPr>
        <w:footnoteRef/>
      </w:r>
      <w:r w:rsidRPr="00761939">
        <w:rPr>
          <w:rFonts w:ascii="Times New Roman" w:hAnsi="Times New Roman" w:cs="Times New Roman"/>
        </w:rPr>
        <w:t xml:space="preserve"> </w:t>
      </w:r>
      <w:r w:rsidRPr="00761939">
        <w:rPr>
          <w:rFonts w:ascii="Times New Roman" w:hAnsi="Times New Roman" w:cs="Times New Roman"/>
          <w:i/>
          <w:iCs/>
        </w:rPr>
        <w:t>Id</w:t>
      </w:r>
      <w:r w:rsidRPr="00761939">
        <w:rPr>
          <w:rFonts w:ascii="Times New Roman" w:hAnsi="Times New Roman" w:cs="Times New Roman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241926"/>
    <w:multiLevelType w:val="hybridMultilevel"/>
    <w:tmpl w:val="D38C2546"/>
    <w:lvl w:ilvl="0" w:tplc="DF0A146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1746B9A"/>
    <w:multiLevelType w:val="hybridMultilevel"/>
    <w:tmpl w:val="259062DE"/>
    <w:lvl w:ilvl="0" w:tplc="1A92D346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783"/>
    <w:rsid w:val="000600F6"/>
    <w:rsid w:val="00067ED3"/>
    <w:rsid w:val="000D1115"/>
    <w:rsid w:val="001328F6"/>
    <w:rsid w:val="0020653B"/>
    <w:rsid w:val="00212887"/>
    <w:rsid w:val="00306B9C"/>
    <w:rsid w:val="00341EBB"/>
    <w:rsid w:val="003E3A30"/>
    <w:rsid w:val="003F508A"/>
    <w:rsid w:val="00454E18"/>
    <w:rsid w:val="00641CA0"/>
    <w:rsid w:val="00761939"/>
    <w:rsid w:val="007E3A96"/>
    <w:rsid w:val="00800506"/>
    <w:rsid w:val="008549F3"/>
    <w:rsid w:val="008D1B7F"/>
    <w:rsid w:val="009603B2"/>
    <w:rsid w:val="00994BD4"/>
    <w:rsid w:val="00A8652D"/>
    <w:rsid w:val="00AC2663"/>
    <w:rsid w:val="00B03BFA"/>
    <w:rsid w:val="00B71959"/>
    <w:rsid w:val="00BE1C4E"/>
    <w:rsid w:val="00C615C6"/>
    <w:rsid w:val="00CD6C28"/>
    <w:rsid w:val="00D1427D"/>
    <w:rsid w:val="00DA1301"/>
    <w:rsid w:val="00DA5CF6"/>
    <w:rsid w:val="00DB2D08"/>
    <w:rsid w:val="00E16783"/>
    <w:rsid w:val="00F17459"/>
    <w:rsid w:val="00F217F9"/>
    <w:rsid w:val="00FB0DF0"/>
    <w:rsid w:val="00FB1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."/>
  <w:listSeparator w:val=","/>
  <w14:docId w14:val="4609CE1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E1678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16783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E167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6783"/>
  </w:style>
  <w:style w:type="character" w:styleId="FootnoteReference">
    <w:name w:val="footnote reference"/>
    <w:uiPriority w:val="99"/>
    <w:rsid w:val="00E16783"/>
    <w:rPr>
      <w:position w:val="6"/>
      <w:sz w:val="16"/>
    </w:rPr>
  </w:style>
  <w:style w:type="character" w:styleId="PageNumber">
    <w:name w:val="page number"/>
    <w:basedOn w:val="DefaultParagraphFont"/>
    <w:rsid w:val="00E16783"/>
  </w:style>
  <w:style w:type="paragraph" w:styleId="BalloonText">
    <w:name w:val="Balloon Text"/>
    <w:basedOn w:val="Normal"/>
    <w:link w:val="BalloonTextChar"/>
    <w:uiPriority w:val="99"/>
    <w:semiHidden/>
    <w:unhideWhenUsed/>
    <w:rsid w:val="00A865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652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A13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13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480961-F456-48AA-AB92-0ADB810AD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497</Words>
  <Characters>2834</Characters>
  <Application>Microsoft Office Word</Application>
  <DocSecurity>0</DocSecurity>
  <Lines>23</Lines>
  <Paragraphs>6</Paragraphs>
  <ScaleCrop>false</ScaleCrop>
  <Company/>
  <LinksUpToDate>false</LinksUpToDate>
  <CharactersWithSpaces>3325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2020-06-01T16:17:00Z</dcterms:created>
  <dcterms:modified xsi:type="dcterms:W3CDTF">2020-06-01T16:20:00Z</dcterms:modified>
</cp:coreProperties>
</file>